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Gungsuh" w:cs="Gungsuh" w:eastAsia="Gungsuh" w:hAnsi="Gungsuh"/>
          <w:b w:val="1"/>
          <w:color w:val="2f2f2f"/>
          <w:sz w:val="36"/>
          <w:szCs w:val="36"/>
          <w:shd w:fill="fafafa" w:val="clear"/>
          <w:rtl w:val="0"/>
        </w:rPr>
        <w:t xml:space="preserve">臺灣科技新創基地(TTA)</w:t>
      </w:r>
      <w:r w:rsidDel="00000000" w:rsidR="00000000" w:rsidRPr="00000000">
        <w:rPr>
          <w:rFonts w:ascii="Gungsuh" w:cs="Gungsuh" w:eastAsia="Gungsuh" w:hAnsi="Gungsuh"/>
          <w:b w:val="1"/>
          <w:sz w:val="36"/>
          <w:szCs w:val="36"/>
          <w:rtl w:val="0"/>
        </w:rPr>
        <w:t xml:space="preserve"> 2021年6月新創國際展會聯合徵案說明</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國際展會概述：</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VivaTech 2021 (6/16~6/19) :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TTA邀請業界鄰選25家台灣科技新創參與法國巴黎VivaTech 2021線上展會，除了協助入選團隊建置線上展示館外，更透過大會資源進行數位行銷及強化台灣科新創鏈結全球產業與資金。</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Hello Tomorrow 2021 (6/18~12/3)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TTA 邀請全台科技新創參與Hello Tomorrow 2021亞太區及全球的科技新創競賽，並協助輔導參賽團隊進行賽前輔導，以獲得TTA與大會合作的專屬業師輔導及鏈結全球十大科技領域的資金與產業合作機會。</w:t>
      </w:r>
    </w:p>
    <w:p w:rsidR="00000000" w:rsidDel="00000000" w:rsidP="00000000" w:rsidRDefault="00000000" w:rsidRPr="00000000" w14:paraId="00000008">
      <w:pPr>
        <w:ind w:left="4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MWC 2021 (6/28~7/1)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TTA邀請業界鄰選25家5G, AI相關領域之新創團隊參與於西班牙巴塞隆納舉辦的MWC/4YFN展會，提供TTA專屬的全球產業商機媒合時段，以爭取台灣新創接軌國際及布局2022全球產業機會。</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報名資格：</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VivaTech 2021：凡符合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5G、量子計算 Quantum Computing、網路</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資安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Cyber Security、生物</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Biotech、太空</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Space Tech、對抗氣候變遷Fighting Climate Change、數位轉型 Digital Transformation 及 教育科技 Education Tech 等八大領域</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成立7年以內之新創公司參與。</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Hello Tomorrow 2021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：凡符合太空科技 Aerospace、電腦與通訊硬體 Computer &amp; Communication hardware、數據與人工智能 Data &amp; AI、數位醫療與醫療設備Digital Health &amp; Medical devices、能源與環境Energy &amp; Environment、食物與農業科技Food &amp; Agriculture、工業生物科技與創新材料 Industrial Biotech &amp; New Materials、工業4.0  Industry 4.0、生技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醫療</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與藥物 Medical Biotech &amp; Pharmaceuticals及智慧移動與都市永續性Mobility &amp; Urban Sustainability等十大Deep Tech領域之全球早期新創報名參與。</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MWC 2021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：凡符合5G Connectivity、行動通訊 Connected Industry、人工智慧 AI、新創應用 Startup Innovation、未來科技 Future Society及創新科技 Creative Technology等六大領域之</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8年以內之新創團隊</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1"/>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報名辦法：</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即日起至5/28止歡迎台灣科技新創透過連結</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https://reurl.cc/R6AKee</w:t>
        </w:r>
      </w:hyperlink>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進行線上報名，並於6/5前公布由業界評審遴選出參與VIVATECH 2021及MWC 2021的參展團隊名單。</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報名日期：</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即日起至2021/5/28 23:59止</w:t>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報名連結：</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https://reurl.cc/R6AKee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報名聯絡</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Ms. Celia Liu 劉庭彣 小姐 / 03-591-7832 /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celialiu@taiwanarena.tech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Ms. Zoe Lee  李楙涵 小姐 / 03-591-2123/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zoelee@taiwanarena.tech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備註事項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凡報名任一展會之團隊皆由系統自動進行三項展會活動之資格審查。</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所有報名團隊皆透過TTA邀約之業界評委進行線上評選，並於6/5前公布VivaTech 2021及 MWC 2021入選之參展團隊名單(各25家)。</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凡報經資格審查通過之團隊，將全數推薦報名Hello Tomorrow亞太及全球競賽。</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TTA訂於6/2~6/4舉辦個展會之行前說明會，以協助團隊對大會及全球相關資源的最新動態接軌及國際資源提供等。</w:t>
      </w:r>
    </w:p>
    <w:p w:rsidR="00000000" w:rsidDel="00000000" w:rsidP="00000000" w:rsidRDefault="00000000" w:rsidRPr="00000000" w14:paraId="00000021">
      <w:pPr>
        <w:ind w:left="480" w:firstLine="0"/>
        <w:jc w:val="both"/>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DFKai-SB"/>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81" w:hanging="480"/>
      </w:pPr>
      <w:rPr/>
    </w:lvl>
    <w:lvl w:ilvl="1">
      <w:start w:val="1"/>
      <w:numFmt w:val="decimal"/>
      <w:lvlText w:val="%2、"/>
      <w:lvlJc w:val="left"/>
      <w:pPr>
        <w:ind w:left="2661" w:hanging="480"/>
      </w:pPr>
      <w:rPr/>
    </w:lvl>
    <w:lvl w:ilvl="2">
      <w:start w:val="1"/>
      <w:numFmt w:val="lowerRoman"/>
      <w:lvlText w:val="%3."/>
      <w:lvlJc w:val="right"/>
      <w:pPr>
        <w:ind w:left="3141" w:hanging="480"/>
      </w:pPr>
      <w:rPr/>
    </w:lvl>
    <w:lvl w:ilvl="3">
      <w:start w:val="1"/>
      <w:numFmt w:val="decimal"/>
      <w:lvlText w:val="%4."/>
      <w:lvlJc w:val="left"/>
      <w:pPr>
        <w:ind w:left="3621" w:hanging="480"/>
      </w:pPr>
      <w:rPr/>
    </w:lvl>
    <w:lvl w:ilvl="4">
      <w:start w:val="1"/>
      <w:numFmt w:val="decimal"/>
      <w:lvlText w:val="%5、"/>
      <w:lvlJc w:val="left"/>
      <w:pPr>
        <w:ind w:left="4101" w:hanging="480"/>
      </w:pPr>
      <w:rPr/>
    </w:lvl>
    <w:lvl w:ilvl="5">
      <w:start w:val="1"/>
      <w:numFmt w:val="lowerRoman"/>
      <w:lvlText w:val="%6."/>
      <w:lvlJc w:val="right"/>
      <w:pPr>
        <w:ind w:left="4581" w:hanging="480"/>
      </w:pPr>
      <w:rPr/>
    </w:lvl>
    <w:lvl w:ilvl="6">
      <w:start w:val="1"/>
      <w:numFmt w:val="decimal"/>
      <w:lvlText w:val="%7."/>
      <w:lvlJc w:val="left"/>
      <w:pPr>
        <w:ind w:left="5061" w:hanging="480"/>
      </w:pPr>
      <w:rPr/>
    </w:lvl>
    <w:lvl w:ilvl="7">
      <w:start w:val="1"/>
      <w:numFmt w:val="decimal"/>
      <w:lvlText w:val="%8、"/>
      <w:lvlJc w:val="left"/>
      <w:pPr>
        <w:ind w:left="5541" w:hanging="480"/>
      </w:pPr>
      <w:rPr/>
    </w:lvl>
    <w:lvl w:ilvl="8">
      <w:start w:val="1"/>
      <w:numFmt w:val="lowerRoman"/>
      <w:lvlText w:val="%9."/>
      <w:lvlJc w:val="right"/>
      <w:pPr>
        <w:ind w:left="6021" w:hanging="480"/>
      </w:pPr>
      <w:rPr/>
    </w:lvl>
  </w:abstractNum>
  <w:abstractNum w:abstractNumId="2">
    <w:lvl w:ilvl="0">
      <w:start w:val="1"/>
      <w:numFmt w:val="bullet"/>
      <w:lvlText w:val="⮚"/>
      <w:lvlJc w:val="left"/>
      <w:pPr>
        <w:ind w:left="96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1920" w:hanging="480"/>
      </w:pPr>
      <w:rPr>
        <w:rFonts w:ascii="Noto Sans Symbols" w:cs="Noto Sans Symbols" w:eastAsia="Noto Sans Symbols" w:hAnsi="Noto Sans Symbols"/>
      </w:rPr>
    </w:lvl>
    <w:lvl w:ilvl="3">
      <w:start w:val="1"/>
      <w:numFmt w:val="bullet"/>
      <w:lvlText w:val="●"/>
      <w:lvlJc w:val="left"/>
      <w:pPr>
        <w:ind w:left="2400" w:hanging="480"/>
      </w:pPr>
      <w:rPr>
        <w:rFonts w:ascii="Noto Sans Symbols" w:cs="Noto Sans Symbols" w:eastAsia="Noto Sans Symbols" w:hAnsi="Noto Sans Symbols"/>
      </w:rPr>
    </w:lvl>
    <w:lvl w:ilvl="4">
      <w:start w:val="1"/>
      <w:numFmt w:val="bullet"/>
      <w:lvlText w:val="■"/>
      <w:lvlJc w:val="left"/>
      <w:pPr>
        <w:ind w:left="2880" w:hanging="480"/>
      </w:pPr>
      <w:rPr>
        <w:rFonts w:ascii="Noto Sans Symbols" w:cs="Noto Sans Symbols" w:eastAsia="Noto Sans Symbols" w:hAnsi="Noto Sans Symbols"/>
      </w:rPr>
    </w:lvl>
    <w:lvl w:ilvl="5">
      <w:start w:val="1"/>
      <w:numFmt w:val="bullet"/>
      <w:lvlText w:val="◆"/>
      <w:lvlJc w:val="left"/>
      <w:pPr>
        <w:ind w:left="3360" w:hanging="480"/>
      </w:pPr>
      <w:rPr>
        <w:rFonts w:ascii="Noto Sans Symbols" w:cs="Noto Sans Symbols" w:eastAsia="Noto Sans Symbols" w:hAnsi="Noto Sans Symbols"/>
      </w:rPr>
    </w:lvl>
    <w:lvl w:ilvl="6">
      <w:start w:val="1"/>
      <w:numFmt w:val="bullet"/>
      <w:lvlText w:val="●"/>
      <w:lvlJc w:val="left"/>
      <w:pPr>
        <w:ind w:left="3840" w:hanging="480"/>
      </w:pPr>
      <w:rPr>
        <w:rFonts w:ascii="Noto Sans Symbols" w:cs="Noto Sans Symbols" w:eastAsia="Noto Sans Symbols" w:hAnsi="Noto Sans Symbols"/>
      </w:rPr>
    </w:lvl>
    <w:lvl w:ilvl="7">
      <w:start w:val="1"/>
      <w:numFmt w:val="bullet"/>
      <w:lvlText w:val="■"/>
      <w:lvlJc w:val="left"/>
      <w:pPr>
        <w:ind w:left="4320" w:hanging="480"/>
      </w:pPr>
      <w:rPr>
        <w:rFonts w:ascii="Noto Sans Symbols" w:cs="Noto Sans Symbols" w:eastAsia="Noto Sans Symbols" w:hAnsi="Noto Sans Symbols"/>
      </w:rPr>
    </w:lvl>
    <w:lvl w:ilvl="8">
      <w:start w:val="1"/>
      <w:numFmt w:val="bullet"/>
      <w:lvlText w:val="◆"/>
      <w:lvlJc w:val="left"/>
      <w:pPr>
        <w:ind w:left="4800" w:hanging="480"/>
      </w:pPr>
      <w:rPr>
        <w:rFonts w:ascii="Noto Sans Symbols" w:cs="Noto Sans Symbols" w:eastAsia="Noto Sans Symbols" w:hAnsi="Noto Sans Symbols"/>
      </w:rPr>
    </w:lvl>
  </w:abstractNum>
  <w:abstractNum w:abstractNumId="3">
    <w:lvl w:ilvl="0">
      <w:start w:val="1"/>
      <w:numFmt w:val="decimal"/>
      <w:lvlText w:val="%1."/>
      <w:lvlJc w:val="left"/>
      <w:pPr>
        <w:ind w:left="480" w:hanging="480"/>
      </w:pPr>
      <w:rPr/>
    </w:lvl>
    <w:lvl w:ilvl="1">
      <w:start w:val="1"/>
      <w:numFmt w:val="bullet"/>
      <w:lvlText w:val="⮚"/>
      <w:lvlJc w:val="left"/>
      <w:pPr>
        <w:ind w:left="960" w:hanging="480"/>
      </w:pPr>
      <w:rPr>
        <w:rFonts w:ascii="Noto Sans Symbols" w:cs="Noto Sans Symbols" w:eastAsia="Noto Sans Symbols" w:hAnsi="Noto Sans Symbols"/>
      </w:rPr>
    </w:lvl>
    <w:lvl w:ilvl="2">
      <w:start w:val="1"/>
      <w:numFmt w:val="lowerRoman"/>
      <w:lvlText w:val="%3."/>
      <w:lvlJc w:val="right"/>
      <w:pPr>
        <w:ind w:left="1440" w:hanging="480"/>
      </w:pPr>
      <w:rPr>
        <w:rFonts w:ascii="Times New Roman" w:cs="Times New Roman" w:eastAsia="Times New Roman" w:hAnsi="Times New Roman"/>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lowerRoman"/>
      <w:lvlText w:val="%3."/>
      <w:lvlJc w:val="right"/>
      <w:pPr>
        <w:ind w:left="1440" w:hanging="480"/>
      </w:pPr>
      <w:rPr>
        <w:rFonts w:ascii="Times New Roman" w:cs="Times New Roman" w:eastAsia="Times New Roman" w:hAnsi="Times New Roman"/>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oelee@taiwanarena.tech" TargetMode="External"/><Relationship Id="rId5" Type="http://schemas.openxmlformats.org/officeDocument/2006/relationships/styles" Target="styles.xml"/><Relationship Id="rId6" Type="http://schemas.openxmlformats.org/officeDocument/2006/relationships/hyperlink" Target="https://reurl.cc/R6AKee" TargetMode="External"/><Relationship Id="rId7" Type="http://schemas.openxmlformats.org/officeDocument/2006/relationships/hyperlink" Target="https://reurl.cc/R6AKee" TargetMode="External"/><Relationship Id="rId8" Type="http://schemas.openxmlformats.org/officeDocument/2006/relationships/hyperlink" Target="mailto:celialiu@taiwanarena.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